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B3988" w:rsidRPr="000D6EE2" w:rsidRDefault="00EB1642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B1642">
              <w:rPr>
                <w:rFonts w:ascii="Arial" w:hAnsi="Arial" w:cs="Arial"/>
                <w:b/>
                <w:sz w:val="20"/>
                <w:szCs w:val="20"/>
              </w:rPr>
              <w:t>Ochranná retenční nádrž Lichnov II – technickobezpečnostní dohled na stavbě</w:t>
            </w:r>
            <w:bookmarkStart w:id="0" w:name="_GoBack"/>
            <w:bookmarkEnd w:id="0"/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F66608" w:rsidRDefault="00EB1642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B1642">
              <w:rPr>
                <w:rFonts w:ascii="Arial" w:hAnsi="Arial" w:cs="Arial"/>
                <w:sz w:val="20"/>
                <w:szCs w:val="20"/>
              </w:rPr>
              <w:t>SP7085/2020-571101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1642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CFCA8D-68BB-49F1-8AC4-EABF48A00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Kašný Jiří Ing.</cp:lastModifiedBy>
  <cp:revision>4</cp:revision>
  <cp:lastPrinted>2018-01-29T13:45:00Z</cp:lastPrinted>
  <dcterms:created xsi:type="dcterms:W3CDTF">2018-02-07T11:40:00Z</dcterms:created>
  <dcterms:modified xsi:type="dcterms:W3CDTF">2020-12-14T12:18:00Z</dcterms:modified>
</cp:coreProperties>
</file>